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17 21 vom 5. Oktober 2017</w:t>
      </w:r>
    </w:p>
    <w:p>
      <w:r>
        <w:t>VS Kantonsgericht, 2017-10-05, FR</w:t>
      </w:r>
    </w:p>
    <w:p>
      <w:r>
        <w:rPr>
          <w:b/>
        </w:rPr>
        <w:t xml:space="preserve">Quelle: </w:t>
      </w:r>
      <w:r>
        <w:t>https://mcp.opencaselaw.ch/entscheid/vs_gerichte_C3 17 21</w:t>
      </w:r>
    </w:p>
    <w:p>
      <w:r>
        <w:t>FR: VS_GERICHTE C3 17 21 du 5 octobre 2017</w:t>
      </w:r>
    </w:p>
    <w:p>
      <w:r>
        <w:t>IT: VS_GERICHTE C3 17 21 del 5 ottobre 2017</w:t>
      </w:r>
    </w:p>
    <w:p>
      <w:pPr>
        <w:pStyle w:val="Heading2"/>
      </w:pPr>
      <w:r>
        <w:t>Regeste</w:t>
      </w:r>
    </w:p>
    <w:p>
      <w:r>
        <w:t>DECCIV /14 C3 17 21 DÉCISION DU 5 OCTOBRE 2017 Le juge I du district de Sion M. François Vouilloz, juge ; Mme Emmanuelle Felley, greffière, en la cause X _________, défendeur, demandeur en reconvention, instant, représenté par Maître M _________, avocat, contre</w:t>
      </w:r>
    </w:p>
    <w:p>
      <w:pPr>
        <w:pStyle w:val="Heading2"/>
      </w:pPr>
      <w:r>
        <w:t>Erwägungen</w:t>
      </w:r>
    </w:p>
    <w:p>
      <w:r>
        <w:rPr>
          <w:b/>
        </w:rPr>
        <w:t>E. 23</w:t>
      </w:r>
    </w:p>
    <w:p>
      <w:r>
        <w:t>mars 2017, il a déclaré irrecevable le recours de E _________ et de X _________ (C3 17 xxx). A cet autre stade également, sur la base des actes déposés, rien n’atteste que le juge et la greffière avaient eu connaissance de l’intervention occulte précitée. La communication par Me M _________ de l’intervention de Me J _________ devant la chambre de surveillance est ainsi totalement nouvelle. Comme déjà indiqué, l’examen attentif de tous les dossiers déposés en cause démontre que ce fait est resté dissimulé jusqu’alors. L’indication totalement nouvelle de ce fait par Me M _________ permet enfin de savoir où se trouve le dossier de X _________, requis dès le début de la procédure. Les raisons tendant à garder occulte un tel dossier - qui permettra de faire la lumière sur les prétentions en cause - ne sont cependant pas indiquées, au stade actuel de la procédure. Le caractère occulte de la pratique relevée n’est cependant pas de la compétence du tribunal de céans. Contrairement à l’opinion des parties, les éléments occultes en relation avec la procédure devant la chambre de surveillance n’ont pas à être traités par le tribunal de district. Si elles entendent faire la lumière sur ce point, il leur appartiendra d’intervenir auprès des autorités compétentes en la matière. Le caractère totalement nouveau de l’indication, par Me M _________ lui- même, de l’intervention de Me J _________ justifie dès lors l’admission des allégués proposés - dans la mesure où ils ont trait au dossier de Me J _________ - et surtout l’admission de la communication par Me J _________ du dossier de X _________, requis dès le début de la procédure (déjà lors de la séance du 19 avril 2016).</w:t>
      </w:r>
    </w:p>
    <w:p>
      <w:r>
        <w:t>Les allégués suivants sont ainsi des novas devant être pris en compte, au sens de l'art. 229 CPC :</w:t>
      </w:r>
    </w:p>
    <w:p>
      <w:r>
        <w:t>- Entre-temps X _________ n'a jamais sollicité ce paiement auprès de Me Y _________ malgré le fait qu'il était tout du long assisté de plusieurs mandataires professionnels, notamment (selon courrier du 27.02.2017 de Me M _________ déposé en cause) par Me J _________ dans le cadre de sa dénonciation auprès de l'Autorité de Surveillance des Avocats du canton du Valais. Preuve : édition de l'intégralité de son dossier par X _________, interrogatoire des parties, audition de témoins notamment E _________, courrier du 27.02.2017 de Me M _________, édition par Me J _________ de son dossier tenu dans le cadre de son mandat</w:t>
      </w:r>
    </w:p>
    <w:p>
      <w:r>
        <w:t>- X _________ allègue aujourd'hui avoir égaré l'intégralité de son dossier alors que celui-ci lui a été remis en original et par Me Y _________ à la fin du mandat, comme l'atteste le courrier adressé par Me Y _________ à Me N _________, nouveau mandataire (à l'époque) de X _________, daté du 16.06.2008. Preuve : pièce déjà déposée, édition par Me J _________ de son dossier tenu dans le cadre de son mandat</w:t>
      </w:r>
    </w:p>
    <w:p>
      <w:r>
        <w:t>- 26 -</w:t>
      </w:r>
    </w:p>
    <w:p>
      <w:r>
        <w:t>- Dans son courrier du 27 février 2017, Me M _________ pour X _________ affirme que Me J _________, précédent mandataire semble-t-il de X _________ a très certainement gardé l'intégralité du dossier. Preuve : courrier du 27.02.2017 de Me M _________, édition par Me J _________ de son dossier tenu dans le cadre de son mandat</w:t>
      </w:r>
    </w:p>
    <w:p>
      <w:r>
        <w:t>- Il découle de ce qui précède que la créance invoquée pour la première fois par X _________ à l'encontre de Me Y _________ le 15 septembre 2016 est en tous les cas prescrite. Preuve : absence de toute preuve contraire, toutes les pièces du dossier, édition par Me J _________ de l'intégralité du dossier tenu pendant son mandat.</w:t>
      </w:r>
    </w:p>
    <w:p>
      <w:r>
        <w:t>Ces allégués sont en lien avec le dossier de Me J _________ ; l’intervention était restée jusqu’alors secrète.</w:t>
      </w:r>
    </w:p>
    <w:p>
      <w:r>
        <w:t>3.4. De surcroît, lors des débats d’instruction du 21 février 2017, Me Y _________ a notamment requis - et obtenu - l’audition de X _________, de Me Y _________ et du témoin E _________, ainsi que l’édition par X _________ du dossier jusqu’à la résiliation du mandat. L’ordonnance de preuves n’a pas fait l’objet de recours. Déjà lors de la séance du 19 avril 2016, Me Y _________ avait déjà requis l’édition par X _________ du dossier de la cause. Comme déjà indiqué, Me Y _________ et Me M _________ ont proposé les dates, ont participé sans réserve à la séance et n’ont pas contesté l’ordonnance de preuve. Comme l’a relevé lui-même Me M _________ («Mon client a passé un temps considérable à sortir de son dossier de partage les pièces utiles dans la procédure actuellement pendante. Après m'avoir remis ces pièces que j'ai déposées pour le dossier cité sous rubrique, X _________ a détruit le solde du dossier. Il n'est donc plus en mesure de produire quoi que ce soit d'autre que ce qui a déjà été déposé dans la présente procédure. Mon client me signale toutefois que Me J _________, qui est intervenu précédemment, notamment en dénonçant le cas à la chambre de surveillance, a probablement gardé l'entier du dossier. Je vous laisse donc le soin de juger s'il est opportun de demander l'édition du dossier à Me J _________, en espérant qu'il l'ait conservé»), le dossier requis se trouve auprès de Me J _________. Dès lors, sous cet angle également, ce moyen de preuve - requis et obtenu le 21 février 2017 - doit être administré (déjà requis lors de la séance du 9 avril 2016). Me M _________ l’a d’ailleurs expressément admis dans son écriture précitée («Je vous laisse donc le soin de juger s'il est opportun de demander l'édition du dossier à Me J _________ »). De plus, dans sa détermination du 27 septembre 2017, Me M _________ ne conteste même pas l’argumentation de Me Y _________ sur ce point. Partant, il est ordonné l’édition par Me J _________ du dossier de dénonciation à la chambre de surveillance, pour cette autre raison.</w:t>
      </w:r>
    </w:p>
    <w:p>
      <w:r>
        <w:t>Comme déjà indiqué, l’avocat exerce son activité professionnelle en son nom personnel (art. 12 al. 1 let. b LLCA). C’est en cette qualité qu’il assume ses mandats envers ses clients et les tiers, en particulier les autorités (CR LLCA - VALTICOS, n. 122</w:t>
      </w:r>
    </w:p>
    <w:p>
      <w:r>
        <w:t>- 27 -</w:t>
      </w:r>
    </w:p>
    <w:p>
      <w:r>
        <w:t>ad art. 12 LLCA). Comme le nom de Me J _________ n’apparaît pas dans le dossier de la chambre de surveillance, la question de l’adéquation d’une éventuelle pratique d’avocat occulte («ghost lawyer») se pose également sous cet angle.</w:t>
      </w:r>
    </w:p>
    <w:p>
      <w:r>
        <w:t>4.1. S’agissant des certificats médicaux du Dr I _________, déposé par Me M _________, Me Y _________ relève que durant la procédure, y compris le 20 juin 2017, X _________ ne présentait pas de troubles agoraphobiques.</w:t>
      </w:r>
    </w:p>
    <w:p>
      <w:r>
        <w:t>4.2. La demande de certificats médicaux est un motif courant de la consultation médicale. Ces documents doivent être établis conformément à la vérité. La rédaction de faux certificats médicaux, ou de certificats médicaux de complaisance, peut être assimilée à un agissement professionnel incorrect et peut faire l'objet d'une plainte devant une autorité de surveillance ou d'une sanction disciplinaire et engager non seulement la responsabilité civile de leur auteur, mais également sa responsabilité pénale (LA HARPE/HORISBERGER/HARDING/UMMEL, Acte médical requis par une autorité, constat médical et certificat médical, in Droit de la santé et médecine légale, Chêne-Bourg 2014, p. 387 ; arrêt 4C.156/2005, 28 septembre 2005).</w:t>
      </w:r>
    </w:p>
    <w:p>
      <w:r>
        <w:t>Le certificat médical peut être défini comme une constatation écrite relevant de la science médicale et se rapportant à l'étal de santé d'une personne, singulièrement à sa capacité de travail, voire au traitement médical proposé. L'art. 34 du Code de déontologie de la FMH mentionne que «les certificats médicaux, rapports et expertises sont des documents officiels. Le médecin les établit au plus près de sa conscience professionnelle et avec toute la diligence requise. Le but visé, la date et le nom du destinataire doivent figurer sur le document. Les certificats de complaisance sont interdits». Le but de l'art. 318 CP consiste à protéger principalement la foi accordée, dans le domaine juridique, aux certificats médicaux en tant que moyens de preuve. Le certificat médical est en effet destiné à prouver un fait de portée juridique et il est précisément établi à cette fin (arrêt 6B_1004/2008, 9 avril 2009 c. 4.2. ; arrêt 6B- 152/2007, 13 mai 2008 c. 5.2.2 ; HIRSIG-VOUILLOZ, La responsabilité du médecin, p. 183 ss). Le médecin est alors responsable envers son mandant de la bonne et fidèle exécution du contrat. Si le médecin atteste faussement un fait dans un certificat médical pouvant porter atteinte aux intérêts de son patient, celui-ci pourra alors intenter, en droit privé, action contre le médecin pour mauvaise exécution du contrat au sens des art. 97 et 398 CO. Par contre, si le patient incite son médecin à dresser un faux certificat, il ne peut faire valoir à l'encontre de ce dernier des prestations en</w:t>
      </w:r>
    </w:p>
    <w:p>
      <w:r>
        <w:t>- 28 -</w:t>
      </w:r>
    </w:p>
    <w:p>
      <w:r>
        <w:t>responsabilité civile pour mauvaise exécution du mandat («venire contra factum proprium»). En établissant le faux certificat médical, un médecin peut également engager sa responsabilité délictuelle au sens de l’art. 41 CO, notamment envers les destinataires indirects du certificat médical avec lesquels il n'entretient pas de relation contractuelle (HIRSIG-VOUILLOZ, op. cit., p. 188). Sur le plan disciplinaire, l'établissement d'un faux certificat médical, assimilé à une faute professionnelle, pourra faire l'objet d'une plainte devant l'autorité de surveillance ou d'une sanction disciplinaire (LA HARPE/HORISBERGER/HARDING/UMMEL, op. cit., p. 387 ; HIRSIG-VOUILLOZ, op. cit., p. 191).</w:t>
      </w:r>
    </w:p>
    <w:p>
      <w:r>
        <w:t>4.3. Lors de la séance de conciliation du 26 novembre 2015, devant la juge de la commune de B _________ C _________, assistée de sa greffière Me D _________, X _________ était présent accompagné de E _________, en présence de Me Y _________. Selon Me Y _________, X _________ n'a alors manifesté aucun signe de nervosité et s'est comporté de manière tout à fait ordinaire. Il a proposé de verser 5'000 fr. à Me Y _________. Selon Me Y _________, personne n’a décelé à quelque moment que ce soit, un signe de nervosité ou d'angoisse de X _________ qui a participé à cette séance de façon calme et courtoise. Les certificats médicaux du Dr I _________, requis par X _________, puis par Me M _________, indiquent des troubles anxieux avec traits agoraphobiques qui empêcheraient X _________ de comparaître devant un tribunal. Selon l'index CIM-10-GM 2016 de l'office fédéral de la statistique, l'agoraphobie est un trouble névrotique qui fait partie d'un groupe relativement bien défini de phobies et porte principalement sur la crainte de quitter son domicile, la peur des magasins, des foules et des endroits publics ou la peur de voyager seul ou en train, en autobus ou en avion ; la présence d'un trouble panique est fréquente au cours des épisodes d'agoraphobie (OFS, index CIM-10-GM 2016). L'agoraphobie est une maladie au sens de la classification internationale des maladies de l'OMS. Selon Me Y _________, seul un spécialiste dans les maladies psychiques peut établir un tel diagnostique (La santé psychique en suisse, monitorage 2016, rapport de l'observatoire suisse de la santé no 72, p. 10 ss). Me Y _________ relève qu’aucun spécialiste des maladies psychiques ne s'est prononcé quant à l’éventuelle agoraphobie de X _________. Les divers certificats du Dr I _________, requis par Me M _________, n’indiquent pas les dates des examens en questions. Le 20 juin 2017, Me M _________, avocat professionnel de X _________, indique les disponibilités pour la séance et précise : «mes disponibilités qui sont également celles de mon client». Sur cette base, Me Y _________ déduit qu’à tout le moins, le 20 juin 2017, X _________ ne présentait aucun trouble agoraphobique et ce pour toutes les</w:t>
      </w:r>
    </w:p>
    <w:p>
      <w:r>
        <w:t>- 29 -</w:t>
      </w:r>
    </w:p>
    <w:p>
      <w:r>
        <w:t>dates indiquées par Me M _________. De plus, dans sa détermination du 27 septembre 2017, Me M _________ ne conteste même pas l’argumentation de Me Y _________ sur ce point.</w:t>
      </w:r>
    </w:p>
    <w:p>
      <w:r>
        <w:t>Même si la déclaration de Me M _________ est en contradiction avec les certificats médicaux qu’il a lui-même requis du Dr I _________, rien n’atteste pleinement que les certificats médicaux litigieux soient totalement infondés. Au stade actuel, il n’appartient pas au tribunal d’investiguer sur la validité des certificats médicaux litigieux. Sur cette question, il est loisible aux parties d’intervenir auprès de l’autorité médicale de surveillance, ou de toute autre autorité compétente.</w:t>
      </w:r>
    </w:p>
    <w:p>
      <w:r>
        <w:t>5. Me Y _________ relève l’intervention d’un ou de plusieurs «ghost lawyers». Me Y _________ relève que les époux X _________ et E _________ ne sont pas juristes («Ils écrivent pourtant des dizaines de lettres dont la sémantique est incontestablement celle d'un juriste, autrement dit d'un «ghost lawyer». En Valais le soussigné a déjà été confronté dans certains dossiers à des «avis de droit» ou autre «projet de courriers» écrits soit par des avocats qui n'ont pas d'autoriser (sic) de plaider. C'est une façon contraire à la bonne foi que d'exercer ainsi ses droits procéduraux par le biais d'un conseil occulte et occulté. La procédure est faussée et la justice instrumentalisée. Le ghost lawyer n'apparaît pas et n'a aucun compte à rendre ni au Juge, ni à son client ni encore à l'autre partie. C'est non seulement contraire au principe de la bonne foi mais également au principe de la claire représentation en justice par un avocat (art. 68 CPC)»). Selon Me Y _________, les époux X _________ et E _________ «qui signent ces documents et s'en prévalent, seraient bien en peine de s'expliquer sur les termes ou les mécanismes utilisés dans les dits courriers».</w:t>
      </w:r>
    </w:p>
    <w:p>
      <w:r>
        <w:t>5.1. Le «ghost lawyer» est un avocat agissant de manière occulte. Le «ghost lawyer» rédige un document pour le compte d'un client sans comparaître formellement devant le tribunal ou l’autorité. Le client se présente ainsi lui-même en justice. La pratique du «ghost lawyer» permet aux clients de recevoir des conseils juridiques, tout en gardant le contrôle de leur affaire et en évitant des coûts légaux plus élevés (http://legalghostwriting.blogspot.ch/ ; Goellner Ghostwriting, Ghostwriting Preise &amp; Preisvergleich). Le «gohst lawyer» peut notamment être un avocat inscrit au barreau qui entend conserver l’anonymat ou au bénéfice d’un mandat secret, un avocat sans patente, un juriste sans brevet, un ancien juge ou un ancien fonctionnaire au bénéfice d’une formation juridique. Le «ghost lawyer» utilise généralement la facturation forfaitaire, plutôt que la facturation horaire usuelle des avocats inscrits au barreau (http:</w:t>
      </w:r>
    </w:p>
    <w:p>
      <w:r>
        <w:t>- 30 -</w:t>
      </w:r>
    </w:p>
    <w:p>
      <w:r>
        <w:t>// www.legalghostwriting.com). Le «ghost lawyer» est ainsi un «écrivain fantôme» juridique («prête-plume» ; «ghost writer» en anglais). Il est l’auteur sous-traitant anonyme d’un texte signé par une autre personne. De manière générale, ces professionnels des questions juridiques («écrivains privés») peuvent même proposer leurs services au public (Wikipedia, Legal ghostwriting).</w:t>
      </w:r>
    </w:p>
    <w:p>
      <w:r>
        <w:t>Comme l’attestent les actes de la cause principale (tout comme ceux des dossiers annexés et liés), ni X _________, ni E _________, ni Me M _________ ne contestent l’activité du «ghost lawyer», ni son existence, ni même dans la détermination du 27 septembre 2017. Bien au contraire, dans son écriture du 19 septembre 2017, Me M _________ a relevé : «je ne vois pas en quoi la prétendue intervention d'un «ghost lawyer» aurait un lien avec l'affaire C3 17 xxx», sans démentir catégoriquement son existence ; à cet égard, l’activité du «ghost lawyer» porte notamment sur les écritures du témoin E _________ dans la cause principale C1 16 xxx et sur celles de la procédure devant l’autorité de surveillance. De plus, dans sa détermination du 27 septembre 2017, Me M _________ ne conteste même pas l’intervention du «ghost lawyer», invoquée par Me Y _________.</w:t>
      </w:r>
    </w:p>
    <w:p>
      <w:r>
        <w:t>Ainsi, sans être juriste, E _________ a écrit de multiples courriers, en son propre nom seule et/ou non au nom de son époux ; elle a eu divers contacts avec Me M _________, y compris après la séance d'instruction de février 2017. E _________ écrit au tribunal, en termes juridiques - certes parfois avec un style à l’ancienne - avec des références à des dispositions légales, notamment pour ne pas déposer comme témoin. Son témoignage lui permettrait de s’exprimer dans la même forme que ses écrits, et partant, éclairer le tribunal sur les allégués contestés. Depuis le début de la procédure, X _________ et E _________ indiquent ne pas disposer des pièces du dossier litigieux. Cependant, E _________ écrit divers courriers juridiques au tribunal, sans indiquer l’intervention de Me J _________. Ce n’est que le 27 février 2017 que Me M _________ indique que son client - qui n'avait plus aucune pièce - a remis le dossier requis dès le début de la procédure à Me J _________, en sa qualité d'ancien mandataire. Sur ce point, Me M _________ relève : «mon client me signale toutefois que Me J _________, qui est intervenu précédemment, notamment en dénonçant le cas à la Chambre de surveillance, a probablement gardé l'entier du dossier». Comme il n'y a aucune trace du mandat confié à Me J _________ dans le dossier déposé par la chambre de surveillance (dénonciation de septembre 2011), cette information est ainsi totalement nouvelle. Comme déjà indiqué, dans sa détermination du 27 septembre</w:t>
      </w:r>
    </w:p>
    <w:p>
      <w:r>
        <w:t>- 31 -</w:t>
      </w:r>
    </w:p>
    <w:p>
      <w:r>
        <w:t>2017, Me M _________ ne conteste même pas l’intervention du «ghost lawyer», invoquée par Me Y _________.</w:t>
      </w:r>
    </w:p>
    <w:p>
      <w:r>
        <w:t>Sur cette base, il n’appartient pas au tribunal, au stade actuel de la procédure, de statuer sur l’admissibilité de l’intervention du «ghost lawyer» ou d’autres juristes occultes. Afin notamment de faire la lumière sur cette question, il est loisible aux parties de s’adresser aux autorités compétentes en la matière.</w:t>
      </w:r>
    </w:p>
    <w:p>
      <w:r>
        <w:t>6. S’agissant de l'assistance judiciaire et du mandat y relatif confié à Me M _________, Me Y _________ remet implicitement en cause les décisions y relatives. Selon Me Y _________, «l'intervention d'un ou plusieurs ghost lawyer met en lumière les capacités financières de X _________ dont la fortune permet qu'il soit déjà qualifié de «millionnaire» en ayant pourtant été mis au bénéfice de l'assistance judiciaire, celle-ci lui ayant été logiquement refusée jusqu'ici pour ce motif évident. X _________ (et son épouse) ont fait et font appel à un ou plusieurs ghost lawyer. Ils doivent être sommés de s'expliquer sur les frais consentis à ce sujet. S'ils paient ces conseils occultes (ce qui est pour le moins vraisemblable de l'expérience que j'en ai), la requête d'assistance judiciaire de X _________ aurait dû être rejetée».</w:t>
      </w:r>
    </w:p>
    <w:p>
      <w:r>
        <w:t>6.1. En l’espèce, dans les procédures xxx C1 07 xxx et xxx C1 13 xxx, l’assistance judiciaire a été refusée à X _________ par le juge xxx du district de H _________ (décision du juge XXX de H _________ du 11 mai 2005 ; do xxx C2 04 xxx). Le tribunal avait alors déjà relevé l’importance de la fortune personnelle et matrimoniale de X _________. Conformément à la décision du 6 juin 2016, il n’y a pas lieu de s’y référer. Le 23 juin 2016, Me Y _________ s’est déterminé (art. 119 al. 3 2e phr. CPC ; CR CPC - TAPPY, n. 14 ad art. 119 CPC). Au terme de son jugement du 20 août 2015, le Tribunal cantonal a notamment prononcé (xxx C1 13 xxx) : «5. Le compte épargne xxx ouvert au nom de A _________ auprès de Q _________ est attribué à X _________. 6. G _________ est condamné à verser une soulte de xx’xxx à R _________ et une soulte de xxx’xxx à X _________». Le jugement du Tribunal cantonal a été confirmé par le Tribunal fédéral par arrêt du 2 mai 2016 (5A_738/2015). Le Tribunal fédéral a ainsi confirmé le jugement condamnant notamment G _________ à verser une soulte de xxx’xxx à X _________. Selon la décision de taxation fiscale 2014, le total des revenus s’élève à xx’xxx Dans sa réponse au questionnaire AJ du 5 avril 2016, sous «25. Autres biens», X _________ n’a pas indiqué sous «Droits successoraux, etc.», sa créance de xxx’xxx (pt 6 du jugement du 20 août 2015, TC C1 13 255 ; ATF du 2 mai 2016, 5A_738/2015). X _________ est au bénéfice des</w:t>
      </w:r>
    </w:p>
    <w:p>
      <w:r>
        <w:t>- 32 -</w:t>
      </w:r>
    </w:p>
    <w:p>
      <w:r>
        <w:t>assurances de protection juridique F_________(C2 16 xxx, p. 9). Eu égard aux charges des époux X _________ et E _________ (indiquées dans les réponses au questionnaire), l’indigence apparaît réalisée sous cet angle. Cependant la fortune fiscale de X _________ et de son épouse s’élève à xxx’xxx, essentiellement constituée de valeur immobilière, taxée à la valeur cadastrale, est importante. Leurs dettes privées sont de xxx’xxx au 31 décembre 2014, un peu supérieures à leur fortune fiscale. X _________ n’a pas documenté sa situation actuelle, en particulier sur la valeur vénale réelle - usuellement bien supérieure - de la fortune immobilière familiale. Conformément à la décision du 6 juin 2016, il n’y a cependant pas lieu de considérer, dans la présente cause, que la fortune nette réelle de X _________ et de son épouse est d’à tout le moins de plusieurs centaines de milliers de francs. De même, déjà invoquée à deux reprises dans la décision du 25 avril 2016 (C2 16 xxx, p. 8, p. 9), il n’y pas lieu de considérer la soulte de xxx’xxx que G _________ doit à X _________ (jugement du 20 août 2015, confirmé le 2 mai 2015, 5A_738/2015). A cet égard, dans sa décision du 2 juin 2016, le Tribunal cantonal a pu connaître l’arrêt du 2 mai 2015 (publié sur internet), qui lui a été communiqué, confirmant notamment la soulte de xxx’xxx en faveur de X _________. Le Tribunal cantonal a notamment relevé les chances de succès de X _________, ainsi que son indigence. Eu égard à la décision du 2 juin 2016, cet actif de xxx’xxx ne peut dès lors pas être pris en compte. Malgré l’importance de la fortune réelle de X _________, la condition d’indigence apparaît néanmoins réalisée. Bien qu’à nouveau interpellé sur sa situation financière (questionnaire AJ), X _________ n’a pas déposé un nouveau questionnaire, avec sous «25. Autres biens» «Droits successoraux, etc.», sa créance de xxx’xxx (pt 6 du jugement du 20 août 2015, TC C1 13 xxx ; ATF 5A_738/2015 du 2 mai 2016). Conformément à la décision du Tribunal cantonal du 2 juin 2016, eu égard à sa fortune telle qu’indiquée par X _________ et à sa situation financière, il n’apparaît pas tout à fait possible à X _________ de provisionner dans un bref délai les éventuels coûts du procès, à la différence des autres procédures, lors desquelles l’assistance judiciaire a été refusée. A cet égard, le tribunal relève que X _________ n’a pas fourni de renseignements actualisés et complets sur sa véritable situation patrimoniale, notamment sur sa créance de xxx’xxx et sur le compte épargne xxx. Le Tribunal cantonal a notamment relevé les chances de succès de X _________, ainsi que son indigence.</w:t>
      </w:r>
    </w:p>
    <w:p>
      <w:r>
        <w:t>6.2 En outre, X _________ est défendeur à l’action en paiement, introduite à son encontre. Il est également demandeur en reconvention pour un montant supérieur. Selon l’art. 98 CPC, il appartient au demandeur de fournir une avance. Eu égard à la</w:t>
      </w:r>
    </w:p>
    <w:p>
      <w:r>
        <w:t>- 33 -</w:t>
      </w:r>
    </w:p>
    <w:p>
      <w:r>
        <w:t>nature de la cause, et à la décision du 2 juin 2016, l’assistance d’un avocat professionnel apparaît utile, voire nécessaire. Il n’appartient cependant pas à l’Etat de rémunérer l’activité du «ghost lawyer».</w:t>
      </w:r>
    </w:p>
    <w:p>
      <w:r>
        <w:t>S’agissant des éventuelles chances de succès, par décision du 4 novembre 2015, la chambre de surveillance des avocats a rejeté les griefs invoqués par X _________ à l’encontre de Me Y _________ et a classé la dénonciation. La chambre a notamment relevé que Me Y _________ avait informé X _________ de ses honoraires sans violer les prescriptions de l’art. 12 let. i LLCA. Dans sa détermination du 11 novembre 2015, X _________ a écrit à Me Y _________ pour lui indiquer qu’il était insolvable et qu'il faisait l'objet d'un acte de défaut de bien. Il n’a alors pas indiqué la soulte de xxx’xxx. Lors de la séance de conciliation du 26 novembre 2015, X _________ a même proposé à Me Y _________ de lui verser 5'000 fr. pour solde de tout compte, alors que celui-ci lui réclamait 10'417 fr., avec intérêt à 5% l'an dès le 16 juin 2008. Dans sa détermination du 17 mars 2016, X _________ ne s’est pas déterminé sur les allégués de Me Y _________, en particulier il ne les a pas formellement contestés. X _________ a simplement présenté ses allégations, lesquelles ont été contesté pour l’essentiel par Me Y _________, (all. 16 à 24). Dans sa détermination, au lieu de contester les postes de la facture, X _________ a relevé : «A la séance de conciliation du 26 novembre 2015, j'ai reformulé ma proposition du 11 novembre 2015, de donner a titre de bien plaire la somme de Fr. 5'000.00 en solde à Maître Y _________. Il a refusé de manière catégorique. Il voulait la totalité plus les intérêts au centime près, et si je ne m'exécutais pas, il m'a menacé devant le juge de commune à G _________, _________ ainsi que sa greffière D _________, de me dessaisir de la maison de mon épouse. Je suis marié sous contrat de régime de séparation de biens. Le 20 août 2015, le jugement du tribunal cantonal de la succession de feu A _________ est tombé. La valeur litigieuse en appel se monte à x’xxx’xxx, et je suis succombé dans cette procédure. Au jour d'aujourd'hui, je n'ai plus rien. Je n'ai même pas la somme de 5'000.00, que j'avais proposé à Maître Y _________. Il me reste ma rente AVS et de LPP que je reçois par mois et de plus, je dois régler des dettes importantes. Divers avocats ont été mandatés par moi-même concernant cette procédure et tous m'ont proposé un tarif horaire de Fr. 300.00. Je me permets de vous envoyer à titre informatif diverses copies de factures ainsi qu'une copie de mon contrat de séparation de biens». X _________ est au bénéfice des assurances de protection juridique F_________ (C2 16 xxx, p. 9). Le Tribunal cantonal a notamment relevé les chances de succès de X _________, ainsi que son indigence. Comme l’a relevé le Tribunal cantonal dans sa décision du 2 juin 2016, la cause de l’instant n’apparaît pas dépourvue de toute chance</w:t>
      </w:r>
    </w:p>
    <w:p>
      <w:r>
        <w:t>- 34 -</w:t>
      </w:r>
    </w:p>
    <w:p>
      <w:r>
        <w:t>de succès (art. 117 let. b CPC), de sorte que sa requête d’assistance judiciaire doit toujours être admise, à tout le moins s’agissant de la demande principale. Par la suite, le Tribunal cantonal a derechef confirmé l’assistance judiciaire le 13 juillet 2016, en déclarant le recours irrecevable (C3 16 xxx). Les décisions du Tribunal cantonal n’ont pas fait l’objet de recours.</w:t>
      </w:r>
    </w:p>
    <w:p>
      <w:r>
        <w:t>7.1. Les frais sont en principe mis à la charge de la partie qui succombe (art. 106 al. 1 CPC). Lorsqu’aucune des deux parties n’obtient entièrement gain de cause, ils sont répartis selon le sort de la cause (art. 106 al. 2 CPC). Dans certaines hypothèses, le tribunal peut s’écarter des règles générales et répartir les frais selon sa libre appréciation (art. 107 al. 1 CPC).</w:t>
      </w:r>
    </w:p>
    <w:p>
      <w:r>
        <w:t>Compte tenu du sort réservé aux conclusions respectives des parties (aucune d’elle n’obtient l’entier de ses conclusions), de la particularité du cas d’espèce, de la difficulté de la cause, de la situation financière des parties, les frais de procédure et de décision, par 400 fr. (art. 10 al. 2, 13 al. 1 et 18 LTar), doivent être mis à la charge des parties par moitié chacune.</w:t>
      </w:r>
    </w:p>
    <w:p>
      <w:r>
        <w:t>Les frais, par 200 fr., mis à la charge de X _________ sont provisoirement supportés par l’Etat du Valais au titre de l'assistance judiciaire. Le solde des frais, par 200 fr., sont mis à la charge de Me Y _________.</w:t>
      </w:r>
    </w:p>
    <w:p>
      <w:r>
        <w:t>7.2. L'autorité saisie de la procédure fixe également dans sa décision sur les dépens, le montant dû par la collectivité à l'avocat d'office de la partie assistée. La collectivité paie les débours et honoraires de ce mandataire à partir du moment où il a été nommé en qualité d'avocat d'office au sens des art. 2 et 3 LAJ. Les dépens de l'avocat comprennent tant ses honoraires que ses débours effectifs (art. 3 al. 3 LTar). Les dépens couvrent, en principe, les frais indispensables occasionnés par le litige (art. 4 al. 1 LTar). Les frais de copies ne peuvent excéder 0.50 fr./pièce et l'indemnité de déplacement doit être fixée à 0.60 fr./km (ATF 118 Ib 352, 117 Ia 24; art. 7 al. 1 LTar par analogie). Selon l’art. 34 LTar, dans les autres contestations et affaires civiles, les honoraires sont fixés de 1100 fr. à 11'000 fr. Les honoraires sont fixés entre un minimum et un maximum, d'après la nature et l'importance de la cause, ses difficultés, l'ampleur du travail, le temps utilement consacré par le conseil juridique - le tribunal jouit d'un large pouvoir d'appréciation sur ce point (ATF 118 Ia 133 consid. 2d) -, et la situation financière de la partie (art. 27 al. 1 LTar). En cas d'assistance judiciaire,</w:t>
      </w:r>
    </w:p>
    <w:p>
      <w:r>
        <w:t>- 35 -</w:t>
      </w:r>
    </w:p>
    <w:p>
      <w:r>
        <w:t>qu'elle soit totale ou partielle, l'art. 10 al. 3 OAJ précise que la rémunération du conseil juridique et le paiement de ses débours obéissent aux règles de l'art. 30 al. 1 et 2 let. b LTar. Aux termes de cette disposition, le conseil juridique habilité à se faire indemniser en vertu des dispositions en matière d'assistance judiciaire perçoit, en sus du remboursement de ses débours justifiés, des honoraires correspondant au 70% des honoraires prévus aux art. 31 à 40 LTar, mais au moins à une rémunération équitable telle que définie par la jurisprudence du Tribunal fédéral. La rémunération d'un avocat d'office doit se situer, en moyenne, autour de 180 fr. de l'heure, TVA non comprise, pour être conforme à la Constitution, des différences cantonales pouvant toutefois justifier un écart vers le haut ou vers le bas (ATF 132 I 201). L'avocat d'office ne peut pas réclamer une indemnité supplémentaire à l'assisté.</w:t>
      </w:r>
    </w:p>
    <w:p>
      <w:r>
        <w:t>En l'espèce, en la procédure C3 17 xxx, Me M _________ est intervenu en déposant une requête incidente de 2 pages (24.07.17), une autre requête incidente de 6 pages (17.08.17), une détermination de 2 pages (27.09.17), ainsi que des lettres en la procédure C3 17 xxx. Par conséquent, l'Etat du Valais versera, pour les dépens au titre de l'assistance judiciaire, une indemnité de 600 fr. [débours : 40 fr.; honoraires réduits au sens de l'art. 29 LTar : 560 fr. (70% de 800 fr.), TVA incluse (art. 27 al. 5 LTar)], à Me M _________, avocat d’office de X _________. Cette indemnité prend en compte notamment la nature et l'importance de la cause, sa difficulté modeste, le temps utilement consacré par l'avocat et la situation financière des parties dans le cadre d'une procédure incidente C3, au bénéfice de l'assistance judiciaire (art. 4, 26, 30, 34 LTar).</w:t>
      </w:r>
    </w:p>
    <w:p>
      <w:r>
        <w:t>L’Etat du Valais pourra exiger de X _________ le remboursement de ses prestations fournies au titre de l’assistance judiciaire (200 fr. frais ; 600 fr. dépens) si la situation économique de ce dernier, ayant permis l'octroi de l'assistance judiciaire, s'est améliorée (art. 123 al. 1 CPC ; art. 10 al 1 let a LAJ).</w:t>
      </w:r>
    </w:p>
    <w:p>
      <w:r>
        <w:t>Par ces motifs,</w:t>
      </w:r>
    </w:p>
    <w:p>
      <w:r>
        <w:t>- 36 -</w:t>
      </w:r>
    </w:p>
    <w:p>
      <w:r>
        <w:t>PRONONCE</w:t>
      </w:r>
    </w:p>
    <w:p>
      <w:r>
        <w:t>1. Les nouveaux allégués suivants de Me Y _________ du 14 juillet 2017, ainsi que les moyens de preuves proposés y relatifs, sont admis :</w:t>
      </w:r>
    </w:p>
    <w:p>
      <w:r>
        <w:t>- Entre-temps X _________ n'a jamais sollicité ce paiement auprès de Me Y _________ malgré le fait qu'il était tout du long assisté de plusieurs mandataires professionnels, notamment (selon courrier du 27.02.2017 de Me M _________ déposé en cause) par Me J _________ dans le cadre de sa dénonciation auprès de l'Autorité de Surveillance des Avocats du canton du Valais. Preuve : édition de l'intégralité de son dossier par X _________, interrogatoire des parties, audition de témoins notamment E _________, courrier du 27.02.2017 de Me M _________, édition par Me J _________ de son dossier tenu dans le cadre de son mandat - X _________ allègue aujourd'hui avoir égaré l'intégralité de son dossier alors que celui-ci lui a été remis en original et par Me Y _________ à la fin du mandat, comme l'atteste le courrier adressé par Me Y _________ à Me N _________, nouveau mandataire (à l'époque) de X _________, daté du 16.06.2008. Preuve : pièce déjà déposée, édition par Me J _________ de son dossier tenu dans le cadre de son mandat - Dans son courrier du 27 février 2017, Me M _________ pour X _________ affirme que Me J _________, précédent mandataire semble-t-il de X _________ a très certainement gardé l'intégralité du dossier. Preuve : courrier du 27.02.2017 deMe M _________, édition par Me J _________ de son dossier tenu dans le cadre de son mandat - Il découle de ce qui précède que la créance invoquée pour la première fois par X _________ à l'encontre de Me Y _________ le 15 septembre 2016 est en tous les cas prescrite. Preuve : absence de toute preuve contraire, toutes les pièces du dossier, édition par Me J _________ de l'intégralité du dossier tenu pendant son mandat.</w:t>
      </w:r>
    </w:p>
    <w:p>
      <w:r>
        <w:t>2. La requête de X _________, tendant à interdire l'édition par Me J _________ de son dossier complet, est rejetée. 3. Toute autre éventuelle conclusion est rejetée. 4. Les frais, par 400 fr., sont mis à la charge de X _________ pour moitié, et à la charge de Me Y _________ pour moitié. La part de frais, par 200 fr., mis à la charge de X _________, est provisoirement supportée par l’Etat du Valais au titre de l'assistance judiciaire. 5. L'Etat du Valais versera 600 fr. à Me M _________, avocat d'office de X _________, à titre de dépens, au titre de l'assistance judiciaire totale (C3 17 xxx).</w:t>
      </w:r>
    </w:p>
    <w:p>
      <w:r>
        <w:t>6. L'Etat du Valais pourra exiger de X _________, né le xxx, , le remboursement de ses prestations fournies au titre de l'assistance judiciaire (200 fr. frais + 600 fr. dépens) si la situation économique de ce dernier, ayant permis l'octroi de l'assistance judiciaire, s'est améliorée (art. 123 CPC ; art. 10 al 1 let a LAJ).</w:t>
      </w:r>
    </w:p>
    <w:p>
      <w:r>
        <w:t>Sion, le 5 octobre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